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55AAA" w14:textId="77777777" w:rsidR="001E0987" w:rsidRDefault="00021AA7">
      <w:pPr>
        <w:spacing w:after="81" w:line="216" w:lineRule="auto"/>
        <w:ind w:left="672" w:right="7844" w:hanging="643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34807C4" wp14:editId="5D5EE130">
            <wp:simplePos x="0" y="0"/>
            <wp:positionH relativeFrom="column">
              <wp:posOffset>1252812</wp:posOffset>
            </wp:positionH>
            <wp:positionV relativeFrom="paragraph">
              <wp:posOffset>-277393</wp:posOffset>
            </wp:positionV>
            <wp:extent cx="5428853" cy="1024225"/>
            <wp:effectExtent l="0" t="0" r="0" b="0"/>
            <wp:wrapSquare wrapText="bothSides"/>
            <wp:docPr id="65678" name="Picture 656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78" name="Picture 6567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8853" cy="1024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4"/>
        </w:rPr>
        <w:t xml:space="preserve">Faculdade </w:t>
      </w:r>
      <w:r>
        <w:rPr>
          <w:noProof/>
        </w:rPr>
        <w:drawing>
          <wp:inline distT="0" distB="0" distL="0" distR="0" wp14:anchorId="1BF1D95D" wp14:editId="282C7FFB">
            <wp:extent cx="262146" cy="73159"/>
            <wp:effectExtent l="0" t="0" r="0" b="0"/>
            <wp:docPr id="3090" name="Picture 30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0" name="Picture 309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2146" cy="73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4"/>
        </w:rPr>
        <w:t xml:space="preserve"> de</w:t>
      </w:r>
    </w:p>
    <w:p w14:paraId="0AE3E801" w14:textId="77777777" w:rsidR="001E0987" w:rsidRDefault="00021AA7">
      <w:pPr>
        <w:spacing w:after="781"/>
      </w:pPr>
      <w:r>
        <w:rPr>
          <w:rFonts w:ascii="Calibri" w:eastAsia="Calibri" w:hAnsi="Calibri" w:cs="Calibri"/>
          <w:sz w:val="24"/>
        </w:rPr>
        <w:t>Qf:</w:t>
      </w:r>
      <w:r>
        <w:rPr>
          <w:rFonts w:ascii="Calibri" w:eastAsia="Calibri" w:hAnsi="Calibri" w:cs="Calibri"/>
          <w:sz w:val="24"/>
          <w:u w:val="single" w:color="000000"/>
        </w:rPr>
        <w:t xml:space="preserve"> CII?</w:t>
      </w:r>
    </w:p>
    <w:p w14:paraId="64482356" w14:textId="77777777" w:rsidR="001E0987" w:rsidRDefault="00021AA7">
      <w:pPr>
        <w:spacing w:after="3" w:line="265" w:lineRule="auto"/>
        <w:ind w:left="907" w:right="28" w:hanging="5"/>
        <w:jc w:val="both"/>
      </w:pPr>
      <w:r>
        <w:rPr>
          <w:rFonts w:ascii="Calibri" w:eastAsia="Calibri" w:hAnsi="Calibri" w:cs="Calibri"/>
          <w:sz w:val="24"/>
        </w:rPr>
        <w:t>AVANÇOS NO DIAGNÓSTICO LABORATORIAL DA ANEMIA FERROPRIVA:</w:t>
      </w:r>
    </w:p>
    <w:p w14:paraId="3E808431" w14:textId="77777777" w:rsidR="001E0987" w:rsidRDefault="00021AA7">
      <w:pPr>
        <w:spacing w:after="1037" w:line="265" w:lineRule="auto"/>
        <w:ind w:left="1628" w:right="28" w:hanging="5"/>
        <w:jc w:val="both"/>
      </w:pPr>
      <w:r>
        <w:rPr>
          <w:rFonts w:ascii="Calibri" w:eastAsia="Calibri" w:hAnsi="Calibri" w:cs="Calibri"/>
          <w:sz w:val="24"/>
        </w:rPr>
        <w:t>MÉTODOS CONVENCIONAIS E TECNOLOGIAS EMERGENTES</w:t>
      </w:r>
    </w:p>
    <w:p w14:paraId="635C1F7E" w14:textId="77777777" w:rsidR="001E0987" w:rsidRDefault="00021AA7">
      <w:pPr>
        <w:pStyle w:val="Ttulo1"/>
        <w:spacing w:after="599"/>
        <w:ind w:left="456"/>
      </w:pPr>
      <w:r>
        <w:rPr>
          <w:rFonts w:ascii="Calibri" w:eastAsia="Calibri" w:hAnsi="Calibri" w:cs="Calibri"/>
          <w:sz w:val="24"/>
        </w:rPr>
        <w:t>RESUMO</w:t>
      </w:r>
    </w:p>
    <w:p w14:paraId="603120DA" w14:textId="77777777" w:rsidR="001E0987" w:rsidRDefault="00021AA7">
      <w:pPr>
        <w:spacing w:after="3" w:line="330" w:lineRule="auto"/>
        <w:ind w:left="475" w:right="28" w:hanging="5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E3686B1" wp14:editId="1CDA0B38">
            <wp:simplePos x="0" y="0"/>
            <wp:positionH relativeFrom="page">
              <wp:posOffset>216423</wp:posOffset>
            </wp:positionH>
            <wp:positionV relativeFrom="page">
              <wp:posOffset>1347344</wp:posOffset>
            </wp:positionV>
            <wp:extent cx="600496" cy="478582"/>
            <wp:effectExtent l="0" t="0" r="0" b="0"/>
            <wp:wrapSquare wrapText="bothSides"/>
            <wp:docPr id="3118" name="Picture 3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8" name="Picture 311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0496" cy="478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4"/>
        </w:rPr>
        <w:t>A anemia ferropriva é a deficiência nutricional mais prevalente no mundo e representa um desafio clínico e de saúde pública. Seu diagnóstico precoce é essencial para evitar complicações, mas os métodos laboratoriais tradicionais, como hemograma, ferro sérico, saturação de transferrina e ferritina, apresentam limitações, principalmente em contextos inflamatórios. Este trabalho teve como objetivo comparar métodos convencionais e emergentes no diagnóstico laboratorial da anemia ferropriva, identificando suas v</w:t>
      </w:r>
      <w:r>
        <w:rPr>
          <w:rFonts w:ascii="Calibri" w:eastAsia="Calibri" w:hAnsi="Calibri" w:cs="Calibri"/>
          <w:sz w:val="24"/>
        </w:rPr>
        <w:t>antagens, restrições e aplicabilidade clínica. Para tanto, realizou-se uma revisão bibliográfica integrativa em bases científicas (PubMed, Scopus, Web of Science, SciELO e LILACS), abrangendo estudos publicados entre 2015 e 2025. Foram incluídos artigos originais, revisões sistemáticas e diretrizes internacionais que avaliaram a acurácia de marcadores diagnósticos. Os resultados mostraram que, embora a ferritina mantenha-se como exame de primeira linha por sua ampla disponibilidade e baixo custo, sua confia</w:t>
      </w:r>
      <w:r>
        <w:rPr>
          <w:rFonts w:ascii="Calibri" w:eastAsia="Calibri" w:hAnsi="Calibri" w:cs="Calibri"/>
          <w:sz w:val="24"/>
        </w:rPr>
        <w:t>bilidade é reduzida em presença de inflamação. Entre os biomarcadores emergentes, destacaram-se o Reticulocyte Hemoglobin Equivalent (Ret-He), que apresentou maior sensibilidade em gestantes e crianças; o receptor solúvel de transferrina (sTfR), mais robusto em condições inflamatórias e em hemodiálise; e a hepcidina, útil na diferenciação entre anemia ferropriva e anemia da inflamação, ainda limitada pelo custo e falta de padronização. Conclui-se que nenhum exame isolado é suficiente em todos os cenários, s</w:t>
      </w:r>
      <w:r>
        <w:rPr>
          <w:rFonts w:ascii="Calibri" w:eastAsia="Calibri" w:hAnsi="Calibri" w:cs="Calibri"/>
          <w:sz w:val="24"/>
        </w:rPr>
        <w:t>endo necessária a integração entre métodos clássicos e tecnologias emergentes para um diagnóstico mais preciso e aplicável em diferentes níveis de atenção à saúde.</w:t>
      </w:r>
    </w:p>
    <w:p w14:paraId="57C6439B" w14:textId="77777777" w:rsidR="001E0987" w:rsidRDefault="00021AA7">
      <w:pPr>
        <w:pStyle w:val="Ttulo1"/>
      </w:pPr>
      <w:r>
        <w:t>1 - INTRODUÇÃO</w:t>
      </w:r>
    </w:p>
    <w:p w14:paraId="6C1C672D" w14:textId="77777777" w:rsidR="001E0987" w:rsidRDefault="00021AA7">
      <w:pPr>
        <w:spacing w:after="101" w:line="317" w:lineRule="auto"/>
        <w:ind w:left="431" w:right="-5"/>
        <w:jc w:val="both"/>
      </w:pPr>
      <w:r>
        <w:rPr>
          <w:sz w:val="24"/>
        </w:rPr>
        <w:t xml:space="preserve">A anemia ferropriva é considerada a deficiência nutricional mais prevalente em todo o mundo, representando um grave problema de saúde pública que afeta indivíduos de diferentes faixas etárias, em especial gestantes, crianças e idosos- Estimativas globais apontam que mms de dois bilhões de pessoas sofrem de algum grau de deficiência de feno, o que corresponde a cerca de </w:t>
      </w:r>
      <w:r>
        <w:rPr>
          <w:noProof/>
        </w:rPr>
        <w:drawing>
          <wp:inline distT="0" distB="0" distL="0" distR="0" wp14:anchorId="73ED31CA" wp14:editId="6D9C1967">
            <wp:extent cx="3049" cy="6097"/>
            <wp:effectExtent l="0" t="0" r="0" b="0"/>
            <wp:docPr id="5320" name="Picture 53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0" name="Picture 532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um terço da população mundial (WORLD HEALTH ORGANIZATION, 2020). Essa condição caracteriza-se pela redução das reservas de ferro do organismo, levando à diminuição da sínte* de hemoglobina e, consequentemente, à instalação de um quadro de anemia que pde comprometer o crescimento, o desenvolvimento cognitivo e a prcxlutividade do indivíduo</w:t>
      </w:r>
      <w:r>
        <w:rPr>
          <w:noProof/>
        </w:rPr>
        <w:drawing>
          <wp:inline distT="0" distB="0" distL="0" distR="0" wp14:anchorId="18876A66" wp14:editId="1E0986C6">
            <wp:extent cx="27434" cy="21338"/>
            <wp:effectExtent l="0" t="0" r="0" b="0"/>
            <wp:docPr id="5321" name="Picture 5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1" name="Picture 532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434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F0955" w14:textId="77777777" w:rsidR="001E0987" w:rsidRDefault="00021AA7">
      <w:pPr>
        <w:spacing w:after="166" w:line="317" w:lineRule="auto"/>
        <w:ind w:left="431" w:right="-5"/>
        <w:jc w:val="both"/>
      </w:pPr>
      <w:r>
        <w:rPr>
          <w:sz w:val="24"/>
        </w:rPr>
        <w:t xml:space="preserve">Do pnto de vista clínico e epidemiológico, a relevância da anemia ferropriva decorre não aFnas da sua alta prevalência, mas também dos Impactos associados à sua evolução- Entre os pnncipais estão o aumento da morbrmortalidade matema e infantil, prejuízos no desemFnho escolar, redução da capacidade laboral e agravamento de doenças crónicas preexistentes (JÃGER et ale, 2024)- Apesar de ser uma condição tratável e prevenívelf o diagnóstico </w:t>
      </w:r>
      <w:r>
        <w:rPr>
          <w:noProof/>
        </w:rPr>
        <w:drawing>
          <wp:inline distT="0" distB="0" distL="0" distR="0" wp14:anchorId="6E842ADA" wp14:editId="5F6CCDA0">
            <wp:extent cx="469424" cy="112787"/>
            <wp:effectExtent l="0" t="0" r="0" b="0"/>
            <wp:docPr id="65681" name="Picture 656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81" name="Picture 6568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9424" cy="112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e preciso ainda enfrenta desafios, especialmente em contextos de recursos limitados ou em situações clímcas que envolvem processos inflamatórios concomitantes.</w:t>
      </w:r>
    </w:p>
    <w:p w14:paraId="0E05CF95" w14:textId="77777777" w:rsidR="001E0987" w:rsidRDefault="00021AA7">
      <w:pPr>
        <w:spacing w:after="133" w:line="317" w:lineRule="auto"/>
        <w:ind w:left="431" w:right="-5"/>
        <w:jc w:val="both"/>
      </w:pPr>
      <w:r>
        <w:rPr>
          <w:sz w:val="24"/>
        </w:rPr>
        <w:t xml:space="preserve">Nesse sentido, a justificativa para o presente estudo encontra respaldo na imprtâncla do diagnóstico laboratorial adAuado da anemia ferropriva- Os métodos convencionais, </w:t>
      </w:r>
      <w:r>
        <w:rPr>
          <w:noProof/>
        </w:rPr>
        <w:drawing>
          <wp:inline distT="0" distB="0" distL="0" distR="0" wp14:anchorId="6C196AA2" wp14:editId="261CBE31">
            <wp:extent cx="341399" cy="76207"/>
            <wp:effectExtent l="0" t="0" r="0" b="0"/>
            <wp:docPr id="5324" name="Picture 53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4" name="Picture 53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1399" cy="76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hemograma, ferro séricof capacidade total de ligação do ferro (TIBC), saturação de transferrina e ferntlna sérica, emt»ra amplamente utilizados, apresentam limitações relevantes. A ferritina, pr exemplo, sofre influência direta de processos inflamatórios, atuando como reagente de fase aguda e podendo mascarar a deficiência real de ferro (WORLD HEALTH ORGANIZATION, </w:t>
      </w:r>
      <w:r>
        <w:rPr>
          <w:noProof/>
        </w:rPr>
        <w:drawing>
          <wp:inline distT="0" distB="0" distL="0" distR="0" wp14:anchorId="37B92283" wp14:editId="546DC4B8">
            <wp:extent cx="3049" cy="6097"/>
            <wp:effectExtent l="0" t="0" r="0" b="0"/>
            <wp:docPr id="5325" name="Picture 53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5" name="Picture 532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2020). Essa limitação reforça a necessidade de utilização de painéis de marcadores complementares e de novas tecnologias que possam aumentar a </w:t>
      </w:r>
      <w:r>
        <w:rPr>
          <w:sz w:val="24"/>
        </w:rPr>
        <w:t>acurácia diagnóstica.</w:t>
      </w:r>
    </w:p>
    <w:p w14:paraId="0FF94878" w14:textId="77777777" w:rsidR="001E0987" w:rsidRDefault="00021AA7">
      <w:pPr>
        <w:spacing w:after="205" w:line="317" w:lineRule="auto"/>
        <w:ind w:left="431" w:right="-5"/>
        <w:jc w:val="both"/>
      </w:pPr>
      <w:r>
        <w:rPr>
          <w:sz w:val="24"/>
        </w:rPr>
        <w:t xml:space="preserve">Nos últimos anos, avanços significativos têm sido observados no campo dos biomarcadores. Testes como o Reticulocyte Hemoglobin Equivalent (Ret-He), a e o receptor solúvel de transferrina (sTfR) vêm se destacando como ferramentas promissoras. Estudos demonstram </w:t>
      </w:r>
      <w:r>
        <w:rPr>
          <w:noProof/>
        </w:rPr>
        <w:drawing>
          <wp:inline distT="0" distB="0" distL="0" distR="0" wp14:anchorId="1220AB7A" wp14:editId="0A5F18A0">
            <wp:extent cx="3049" cy="6097"/>
            <wp:effectExtent l="0" t="0" r="0" b="0"/>
            <wp:docPr id="5326" name="Picture 53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6" name="Picture 532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que o Ret-He pode atingir sensibilidade de até 96% e esFcificidade de 97% em determinados pntos de corte, suFrando clássicos em alguns cenários (ASLAM et al., 2021 Já a heFidina, considerada o hormônio regulador do metabolismo do ferro, tem apresentado alta acurácia na diferenciação entre anemia ferropriva e anemia da inflamação, embora ainda enfrente barretras relacionadas ao custo e à padromzação dos ensaios </w:t>
      </w:r>
      <w:r>
        <w:rPr>
          <w:noProof/>
        </w:rPr>
        <w:drawing>
          <wp:inline distT="0" distB="0" distL="0" distR="0" wp14:anchorId="7D407987" wp14:editId="2D833438">
            <wp:extent cx="719377" cy="118883"/>
            <wp:effectExtent l="0" t="0" r="0" b="0"/>
            <wp:docPr id="12822" name="Picture 128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2" name="Picture 1282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19377" cy="118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(FERRARI et ai., 2024; ARMITAGE; DRAKESMITH, 2019).</w:t>
      </w:r>
    </w:p>
    <w:p w14:paraId="695DE60E" w14:textId="77777777" w:rsidR="001E0987" w:rsidRDefault="00021AA7">
      <w:pPr>
        <w:spacing w:after="113" w:line="317" w:lineRule="auto"/>
        <w:ind w:left="431" w:right="-5"/>
        <w:jc w:val="both"/>
      </w:pPr>
      <w:r>
        <w:rPr>
          <w:sz w:val="24"/>
        </w:rPr>
        <w:t>Outro aspecto que justifica a realização deste estudo é a aplicabilidade clínica desses novos métodos em populações específicas. Em gestantes, por exemplo, o Ret-He mostrou-se superior a parâmetros hematimétricos tradicionais na detecção da deficiência de ferro (DAL BÓ et al., 2023). Em cnanças, o mesmo marcador apresentou elevada sensibilidade para triagem, com pontos de corte adaptados à fatxa etária (NEEF et al., 2021 Já em pacientes com dcxnças crônicas, como artrite reumatoide ou insuficiência renal, m</w:t>
      </w:r>
      <w:r>
        <w:rPr>
          <w:sz w:val="24"/>
        </w:rPr>
        <w:t xml:space="preserve">arcadores como o sTfR e o CHr têm demonstrado maior robustez em </w:t>
      </w:r>
      <w:r>
        <w:rPr>
          <w:sz w:val="24"/>
        </w:rPr>
        <w:t xml:space="preserve">ii </w:t>
      </w:r>
      <w:r>
        <w:rPr>
          <w:sz w:val="24"/>
        </w:rPr>
        <w:t xml:space="preserve">ambientes inflamatórios e de eritropiese comprometida </w:t>
      </w:r>
      <w:r>
        <w:rPr>
          <w:sz w:val="24"/>
        </w:rPr>
        <w:t>(GÜNTHER et 2022; ELHABIBY et 2023).</w:t>
      </w:r>
    </w:p>
    <w:p w14:paraId="524F8558" w14:textId="77777777" w:rsidR="001E0987" w:rsidRDefault="00021AA7">
      <w:pPr>
        <w:spacing w:after="209" w:line="317" w:lineRule="auto"/>
        <w:ind w:left="431" w:right="-5"/>
        <w:jc w:val="both"/>
      </w:pPr>
      <w:r>
        <w:rPr>
          <w:sz w:val="24"/>
        </w:rPr>
        <w:t>Diante desse cenáno, emerge a problemática que orienta este trabalho: quais métodos laboratonais oferecem maior sensibilidade, especificidade e aplicabilidade clínica no diagnóstico da anemia ferropriva?</w:t>
      </w:r>
    </w:p>
    <w:p w14:paraId="4FBB6E23" w14:textId="77777777" w:rsidR="001E0987" w:rsidRDefault="00021AA7">
      <w:pPr>
        <w:spacing w:after="209" w:line="317" w:lineRule="auto"/>
        <w:ind w:left="431" w:right="-5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1D770BB5" wp14:editId="7B08DD8A">
            <wp:simplePos x="0" y="0"/>
            <wp:positionH relativeFrom="page">
              <wp:posOffset>789485</wp:posOffset>
            </wp:positionH>
            <wp:positionV relativeFrom="page">
              <wp:posOffset>338360</wp:posOffset>
            </wp:positionV>
            <wp:extent cx="6739581" cy="1051660"/>
            <wp:effectExtent l="0" t="0" r="0" b="0"/>
            <wp:wrapTopAndBottom/>
            <wp:docPr id="65683" name="Picture 656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83" name="Picture 6568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739581" cy="1051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O objetivo geral desta pesquisa é comparar convencionais e tecnologias emergentes no diagnóstico da anemia ferropriva, analisando suas limitações, desempenho e aplicabilidade em diferentes contextos clinicos. Como objetivos esFcíficos, busca-se: ( I ) mapear e descrever os métodos clássicos e emergentes utilimdos no diagnóstico; (2) identificar fatores de confusão e limitações relacionadas a </w:t>
      </w:r>
      <w:r>
        <w:rPr>
          <w:noProof/>
        </w:rPr>
        <w:drawing>
          <wp:inline distT="0" distB="0" distL="0" distR="0" wp14:anchorId="1E27FF94" wp14:editId="7F84A1C2">
            <wp:extent cx="664509" cy="146317"/>
            <wp:effectExtent l="0" t="0" r="0" b="0"/>
            <wp:docPr id="12823" name="Picture 128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3" name="Picture 1282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4509" cy="146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esFcíficas; e (3) propr um fluxograma prático que auxilie na interpretação laboratorial da condição.</w:t>
      </w:r>
    </w:p>
    <w:p w14:paraId="647D2781" w14:textId="77777777" w:rsidR="001E0987" w:rsidRDefault="00021AA7">
      <w:pPr>
        <w:spacing w:after="209" w:line="317" w:lineRule="auto"/>
        <w:ind w:left="431" w:right="-5"/>
        <w:jc w:val="both"/>
      </w:pPr>
      <w:r>
        <w:rPr>
          <w:sz w:val="24"/>
        </w:rPr>
        <w:t xml:space="preserve">A hilñtese que orienta o estudo é a de que biomarcadores emergentes, como hepcidina, STR e Ret-He, apresentam melhor desemFnho diagnóstico, esrxcialmente em cenários com </w:t>
      </w:r>
      <w:r>
        <w:rPr>
          <w:sz w:val="24"/>
        </w:rPr>
        <w:t xml:space="preserve">processos inflarnatórios </w:t>
      </w:r>
      <w:r>
        <w:rPr>
          <w:noProof/>
        </w:rPr>
        <w:drawing>
          <wp:inline distT="0" distB="0" distL="0" distR="0" wp14:anchorId="1E3E9D3E" wp14:editId="63232079">
            <wp:extent cx="649268" cy="137173"/>
            <wp:effectExtent l="0" t="0" r="0" b="0"/>
            <wp:docPr id="12824" name="Picture 128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4" name="Picture 1282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9268" cy="137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quando comparados aos convencionais.</w:t>
      </w:r>
    </w:p>
    <w:p w14:paraId="30616432" w14:textId="77777777" w:rsidR="001E0987" w:rsidRDefault="00021AA7">
      <w:pPr>
        <w:spacing w:after="131" w:line="317" w:lineRule="auto"/>
        <w:ind w:left="431" w:right="-5"/>
        <w:jc w:val="both"/>
      </w:pPr>
      <w:r>
        <w:rPr>
          <w:sz w:val="24"/>
        </w:rPr>
        <w:t>Em termos metodológicos, o presente trabalho será conduzido por meio de uma revisão bibliográfica Integrativa, contemplando artigos científicos publicados entre 2015 e 2025, indexados em bases de dados reconhecidas, como PubMed, Scopus, Web of Science, SciELO e LILACS, Serão incluídos estudos onginais, revisões sistemáticas e diretrizes que avaliem a acurácia diagnóstica de marcadores convenciona:s e emergentes.</w:t>
      </w:r>
    </w:p>
    <w:p w14:paraId="234D8DF5" w14:textId="77777777" w:rsidR="001E0987" w:rsidRDefault="00021AA7">
      <w:pPr>
        <w:spacing w:after="133" w:line="317" w:lineRule="auto"/>
        <w:ind w:left="431" w:right="-5"/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55A1B0B3" wp14:editId="3704AEB3">
            <wp:simplePos x="0" y="0"/>
            <wp:positionH relativeFrom="page">
              <wp:posOffset>188989</wp:posOffset>
            </wp:positionH>
            <wp:positionV relativeFrom="page">
              <wp:posOffset>871811</wp:posOffset>
            </wp:positionV>
            <wp:extent cx="7367512" cy="1063853"/>
            <wp:effectExtent l="0" t="0" r="0" b="0"/>
            <wp:wrapTopAndBottom/>
            <wp:docPr id="65688" name="Picture 656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88" name="Picture 6568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367512" cy="1063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Por fim, este artigo está estruturado da seguinte fornw após a intrcxiução, a seção de materiais e métodos apresentará os critérios de busca e seleção dos estudos. Em seguidat a seção de resultados trará a caracterização dos estudos incluídos, acompanhada das tabelas e figuras que sintetizam o desempenho diagnóstico dos diferentes métodos. Na discussão, serão analisadas as implicações clínicas e laboratoriais dos achados, considerando contextos específicos e </w:t>
      </w:r>
      <w:r>
        <w:rPr>
          <w:noProof/>
        </w:rPr>
        <w:drawing>
          <wp:inline distT="0" distB="0" distL="0" distR="0" wp14:anchorId="49AEE38A" wp14:editId="555C0F28">
            <wp:extent cx="1371692" cy="146318"/>
            <wp:effectExtent l="0" t="0" r="0" b="0"/>
            <wp:docPr id="65686" name="Picture 656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86" name="Picture 6568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71692" cy="146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Por fim. a conclusão retomará os objetivos e des</w:t>
      </w:r>
      <w:r>
        <w:rPr>
          <w:sz w:val="24"/>
        </w:rPr>
        <w:t>tacará as contribuições práticas e científicas deste estudo.</w:t>
      </w:r>
      <w:r>
        <w:br w:type="page"/>
      </w:r>
    </w:p>
    <w:p w14:paraId="714BC7E4" w14:textId="77777777" w:rsidR="001E0987" w:rsidRDefault="00021AA7">
      <w:pPr>
        <w:pStyle w:val="Ttulo2"/>
      </w:pPr>
      <w:r>
        <w:t>6 CONCLUSÃO</w:t>
      </w:r>
    </w:p>
    <w:p w14:paraId="03407882" w14:textId="77777777" w:rsidR="001E0987" w:rsidRDefault="00021AA7">
      <w:pPr>
        <w:spacing w:after="219" w:line="289" w:lineRule="auto"/>
        <w:ind w:left="446" w:right="-5"/>
        <w:jc w:val="both"/>
      </w:pPr>
      <w:r>
        <w:rPr>
          <w:rFonts w:ascii="Calibri" w:eastAsia="Calibri" w:hAnsi="Calibri" w:cs="Calibri"/>
          <w:sz w:val="24"/>
        </w:rPr>
        <w:t>O presente estudo buscou responder à questão central sobre quais métodos laboratoriais oferecem maior sensibilidade, especificidade e aplicabilidade clinica no diagnóstico da anemia ferropriva. A análise da literatura demonstrou que, a ferntma sénca ainda seja o exame de primeira linha devido ao baixo custo e ampla disponibilidade, sua confiabilidade é comprometida em cenários de inflamação, exigindo interpretação a outros marcadores.</w:t>
      </w:r>
    </w:p>
    <w:p w14:paraId="5B5BBE4F" w14:textId="77777777" w:rsidR="001E0987" w:rsidRDefault="00021AA7">
      <w:pPr>
        <w:spacing w:after="219" w:line="289" w:lineRule="auto"/>
        <w:ind w:left="456" w:right="-5"/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47BE4C32" wp14:editId="6A7DEBC2">
            <wp:simplePos x="0" y="0"/>
            <wp:positionH relativeFrom="page">
              <wp:posOffset>1063824</wp:posOffset>
            </wp:positionH>
            <wp:positionV relativeFrom="page">
              <wp:posOffset>594416</wp:posOffset>
            </wp:positionV>
            <wp:extent cx="6465243" cy="1042515"/>
            <wp:effectExtent l="0" t="0" r="0" b="0"/>
            <wp:wrapTopAndBottom/>
            <wp:docPr id="65693" name="Picture 656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93" name="Picture 65693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465243" cy="1042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4"/>
        </w:rPr>
        <w:t>Os biomarcadores emergentes, como o Ret-He, o sTfR e a heFidina* mostraram desempenho superior em diferentes contextos. O Ret41e destacou-se como ferramenta de triagem rápida e eficaz, especialmente em gestantes e crianças. O sTfR apresentou maior robustez diagnóstica em cond*s inflamatónas e em pacientes em hemodiálise, sobretudo quando combinado ao índice log ferritina. Já a hqxidina mostrou-se promissora para diferenciar anemia ferropriva da anemia da Inflamação, ainda que limitada pelo alto custo e pela</w:t>
      </w:r>
      <w:r>
        <w:rPr>
          <w:rFonts w:ascii="Calibri" w:eastAsia="Calibri" w:hAnsi="Calibri" w:cs="Calibri"/>
          <w:sz w:val="24"/>
        </w:rPr>
        <w:t xml:space="preserve"> falta de padronizção dos ensaios</w:t>
      </w:r>
      <w:r>
        <w:rPr>
          <w:noProof/>
        </w:rPr>
        <w:drawing>
          <wp:inline distT="0" distB="0" distL="0" distR="0" wp14:anchorId="7BCA6A42" wp14:editId="1F5B5EB0">
            <wp:extent cx="487713" cy="118883"/>
            <wp:effectExtent l="0" t="0" r="0" b="0"/>
            <wp:docPr id="65691" name="Picture 656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91" name="Picture 6569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87713" cy="118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0C78C" w14:textId="77777777" w:rsidR="001E0987" w:rsidRDefault="00021AA7">
      <w:pPr>
        <w:spacing w:after="219" w:line="289" w:lineRule="auto"/>
        <w:ind w:left="456" w:right="-5"/>
        <w:jc w:val="both"/>
      </w:pPr>
      <w:r>
        <w:rPr>
          <w:rFonts w:ascii="Calibri" w:eastAsia="Calibri" w:hAnsi="Calibri" w:cs="Calibri"/>
          <w:sz w:val="24"/>
        </w:rPr>
        <w:t>Como recomendação prática, conclui-se que a escolha do marcador ideal deve considerar o MII clinico do paciente, o nível de atenção em saúde e os recursos dispniveis. Nos serviços básicos, a ferntina a parâmetros hematimétricos ainda se mostra suficiente para triagem Inicial. Em ambientes especializados, a incorporação de biornarcadores emergentes pde oferecer maor precisão diagnóstica, reduzindo erros de conduta e otimuando o mango clínico.</w:t>
      </w:r>
    </w:p>
    <w:p w14:paraId="58143773" w14:textId="77777777" w:rsidR="001E0987" w:rsidRDefault="00021AA7">
      <w:pPr>
        <w:spacing w:after="219" w:line="289" w:lineRule="auto"/>
        <w:ind w:left="456" w:right="-5"/>
        <w:jc w:val="both"/>
      </w:pPr>
      <w:r>
        <w:rPr>
          <w:rFonts w:ascii="Calibri" w:eastAsia="Calibri" w:hAnsi="Calibri" w:cs="Calibri"/>
          <w:sz w:val="24"/>
        </w:rPr>
        <w:t xml:space="preserve">Portanto, a "moral da história" é que não existe um único exame ideal para as situações. A Integração entre tradicionais e novas tecnologias representa o caminho mais seguro para um diagnóstico preciso, garantindo intervenções mais adequadas e contribuindo para a </w:t>
      </w:r>
      <w:r>
        <w:rPr>
          <w:noProof/>
        </w:rPr>
        <w:drawing>
          <wp:inline distT="0" distB="0" distL="0" distR="0" wp14:anchorId="0F4C5165" wp14:editId="7DDB3FCB">
            <wp:extent cx="3049" cy="6097"/>
            <wp:effectExtent l="0" t="0" r="0" b="0"/>
            <wp:docPr id="27884" name="Picture 27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84" name="Picture 2788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4"/>
        </w:rPr>
        <w:t>melhoria da saúde pública frente à elevada prevalência da anemia ferropriva.</w:t>
      </w:r>
    </w:p>
    <w:p w14:paraId="1AA01EB5" w14:textId="77777777" w:rsidR="001E0987" w:rsidRDefault="00021AA7">
      <w:pPr>
        <w:pStyle w:val="Ttulo1"/>
      </w:pPr>
      <w:r>
        <w:t>1 - INTRODUÇÃO</w:t>
      </w:r>
    </w:p>
    <w:p w14:paraId="0BC6B6C3" w14:textId="77777777" w:rsidR="001E0987" w:rsidRDefault="00021AA7">
      <w:pPr>
        <w:spacing w:after="101" w:line="317" w:lineRule="auto"/>
        <w:ind w:left="431" w:right="-5"/>
        <w:jc w:val="both"/>
      </w:pPr>
      <w:r>
        <w:rPr>
          <w:sz w:val="24"/>
        </w:rPr>
        <w:t xml:space="preserve">A anemia ferropriva é considerada a deficiência nutricional mais prevalente em todo o mundo, representando um grave problema de saúde pública que afeta indivíduos de diferentes faixas etárias, em especial gestantes, crianças e idosos- Estimativas globais apontam que mms de dois bilhões de pessoas sofrem de algum grau de deficiência de feno, o que corresponde a cerca de </w:t>
      </w:r>
      <w:r>
        <w:rPr>
          <w:noProof/>
        </w:rPr>
        <w:drawing>
          <wp:inline distT="0" distB="0" distL="0" distR="0" wp14:anchorId="5F2B401C" wp14:editId="19476BA2">
            <wp:extent cx="3049" cy="6097"/>
            <wp:effectExtent l="0" t="0" r="0" b="0"/>
            <wp:docPr id="30240" name="Picture 302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40" name="Picture 3024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um terço da população mundial (WORLD HEALTH ORGANIZATION, 2020). Essa condição caracteriza-se pela redução das reservas de ferro do organismo, levando à diminuição da sínte* de hemoglobina e, consequentemente, à instalação de um quadro de anemia que pde comprometer o crescimento, o desenvolvimento cognitivo e a prcxlutividade do indivíduo</w:t>
      </w:r>
      <w:r>
        <w:rPr>
          <w:noProof/>
        </w:rPr>
        <w:drawing>
          <wp:inline distT="0" distB="0" distL="0" distR="0" wp14:anchorId="63F8EA2F" wp14:editId="5F3D0016">
            <wp:extent cx="27434" cy="21338"/>
            <wp:effectExtent l="0" t="0" r="0" b="0"/>
            <wp:docPr id="30241" name="Picture 302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41" name="Picture 3024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434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E025F" w14:textId="77777777" w:rsidR="001E0987" w:rsidRDefault="00021AA7">
      <w:pPr>
        <w:spacing w:after="166" w:line="317" w:lineRule="auto"/>
        <w:ind w:left="431" w:right="-5"/>
        <w:jc w:val="both"/>
      </w:pPr>
      <w:r>
        <w:rPr>
          <w:sz w:val="24"/>
        </w:rPr>
        <w:t xml:space="preserve">Do pnto de vista clínico e epidemiológico, a relevância da anemia ferropriva decorre não aFnas da sua alta prevalência, mas também dos Impactos associados à sua evolução- Entre os pnncipais estão o aumento da morbrmortalidade matema e infantil, prejuízos no desemFnho escolar, redução da capacidade laboral e agravamento de doenças crónicas preexistentes (JÃGER et ale, 2024)- Apesar de ser uma condição tratável e prevenívelf o diagnóstico </w:t>
      </w:r>
      <w:r>
        <w:rPr>
          <w:noProof/>
        </w:rPr>
        <w:drawing>
          <wp:inline distT="0" distB="0" distL="0" distR="0" wp14:anchorId="4239453A" wp14:editId="2A2197DD">
            <wp:extent cx="469424" cy="112787"/>
            <wp:effectExtent l="0" t="0" r="0" b="0"/>
            <wp:docPr id="65696" name="Picture 656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96" name="Picture 6569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9424" cy="112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e preciso ainda enfrenta desafios, especialmente em contextos de recursos limitados ou em situações clímcas que envolvem processos inflamatórios concomitantes.</w:t>
      </w:r>
    </w:p>
    <w:p w14:paraId="6E8DE4CE" w14:textId="77777777" w:rsidR="001E0987" w:rsidRDefault="00021AA7">
      <w:pPr>
        <w:spacing w:after="135" w:line="317" w:lineRule="auto"/>
        <w:ind w:left="431" w:right="-5"/>
        <w:jc w:val="both"/>
      </w:pPr>
      <w:r>
        <w:rPr>
          <w:sz w:val="24"/>
        </w:rPr>
        <w:t xml:space="preserve">Nesse sentido, a justificativa para o presente estudo encontra respaldo na imprtâncla do diagnóstico laboratorial adAuado da anemia ferropriva- Os métodos convencionais, </w:t>
      </w:r>
      <w:r>
        <w:rPr>
          <w:noProof/>
        </w:rPr>
        <w:drawing>
          <wp:inline distT="0" distB="0" distL="0" distR="0" wp14:anchorId="65CBD24C" wp14:editId="574FA5B8">
            <wp:extent cx="341399" cy="76207"/>
            <wp:effectExtent l="0" t="0" r="0" b="0"/>
            <wp:docPr id="30244" name="Picture 30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44" name="Picture 3024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1399" cy="76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hemograma, ferro séricof capacidade total de ligação do ferro (TIBC), saturação de transferrina e ferntlna sérica, emt»ra amplamente utilizados, apresentam limitações relevantes. A ferritina, pr exemplo, sofre influência direta de processos inflamatórios, atuando como reagente de fase aguda e podendo mascarar a deficiência real de ferro (WORLD HEALTH ORGANIZATION, </w:t>
      </w:r>
      <w:r>
        <w:rPr>
          <w:noProof/>
        </w:rPr>
        <w:drawing>
          <wp:inline distT="0" distB="0" distL="0" distR="0" wp14:anchorId="25956434" wp14:editId="6F31E8FE">
            <wp:extent cx="3049" cy="6097"/>
            <wp:effectExtent l="0" t="0" r="0" b="0"/>
            <wp:docPr id="30245" name="Picture 30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45" name="Picture 3024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2020). Essa limitação reforça a necessidade de utilização de painéis de marcadores complementares e de novas tecnologias que possam aumentar a </w:t>
      </w:r>
      <w:r>
        <w:rPr>
          <w:sz w:val="24"/>
        </w:rPr>
        <w:t>acurácia diagnóstica.</w:t>
      </w:r>
    </w:p>
    <w:p w14:paraId="548F9B0F" w14:textId="77777777" w:rsidR="001E0987" w:rsidRDefault="00021AA7">
      <w:pPr>
        <w:spacing w:after="209" w:line="317" w:lineRule="auto"/>
        <w:ind w:left="431" w:right="-5"/>
        <w:jc w:val="both"/>
      </w:pPr>
      <w:r>
        <w:rPr>
          <w:sz w:val="24"/>
        </w:rPr>
        <w:t xml:space="preserve">Nos últimos anos, avanços significativos têm sido observados no campo dos biomarcadores. Testes como o Reticulocyte Hemoglobin Equivalent (Ret-He), a e o receptor solúvel de transferrina (sTfR) vêm se destacando como ferramentas promissoras. Estudos demonstram </w:t>
      </w:r>
      <w:r>
        <w:rPr>
          <w:noProof/>
        </w:rPr>
        <w:drawing>
          <wp:inline distT="0" distB="0" distL="0" distR="0" wp14:anchorId="68C44AC3" wp14:editId="4D7509A9">
            <wp:extent cx="3049" cy="6097"/>
            <wp:effectExtent l="0" t="0" r="0" b="0"/>
            <wp:docPr id="30246" name="Picture 302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46" name="Picture 3024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que o Ret-He pode atingir sensibilidade de até 96% e esFcificidade de 97% em determinados pntos de corte, suFrando clássicos em alguns cenários (ASLAM et al., 2021 Já a heFidina, considerada o hormônio regulador do metabolismo do ferro, tem apresentado alta acurácia na diferenciação entre anemia ferropriva e anemia da inflamação, embora ainda enfrente barretras relacionadas ao custo e à padromzação dos ensaios </w:t>
      </w:r>
      <w:r>
        <w:rPr>
          <w:noProof/>
        </w:rPr>
        <w:drawing>
          <wp:inline distT="0" distB="0" distL="0" distR="0" wp14:anchorId="1E0064AD" wp14:editId="1022F0E1">
            <wp:extent cx="719377" cy="118883"/>
            <wp:effectExtent l="0" t="0" r="0" b="0"/>
            <wp:docPr id="37742" name="Picture 377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42" name="Picture 3774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19377" cy="118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(FERRARI et ai., 2024; ARMITAGE; DRAKESMITH, 2019).</w:t>
      </w:r>
    </w:p>
    <w:p w14:paraId="243C81C4" w14:textId="77777777" w:rsidR="001E0987" w:rsidRDefault="00021AA7">
      <w:pPr>
        <w:spacing w:after="133" w:line="317" w:lineRule="auto"/>
        <w:ind w:left="431" w:right="-5"/>
        <w:jc w:val="both"/>
      </w:pPr>
      <w:r>
        <w:rPr>
          <w:sz w:val="24"/>
        </w:rPr>
        <w:t>Outro aspecto que justifica a realização deste estudo é a aplicabilidade clínica desses novos métodos em populações específicas. Em gestantes, por exemplo, o Ret-He mostrou-se superior a parâmetros hematimétricos tradicionais na detecção da deficiência de ferro (DAL BÓ et al., 2023). Em cnanças, o mesmo marcador apresentou elevada sensibilidade para triagem, com pontos de corte adaptados à fatxa etária (NEEF et al., 2021 Já em pacientes com dcxnças crônicas, como artrite reumatoide ou insuficiência renal, m</w:t>
      </w:r>
      <w:r>
        <w:rPr>
          <w:sz w:val="24"/>
        </w:rPr>
        <w:t>arcadores como o sTfR e o CHr têm demonstrado maior robustez em ii ambientes inflamatórios e de eritropiese comprometida (GÜNTHER et 2022; ELHABIBY et 2023).</w:t>
      </w:r>
    </w:p>
    <w:p w14:paraId="404B0496" w14:textId="77777777" w:rsidR="001E0987" w:rsidRDefault="00021AA7">
      <w:pPr>
        <w:spacing w:after="213" w:line="317" w:lineRule="auto"/>
        <w:ind w:left="431" w:right="-5"/>
        <w:jc w:val="both"/>
      </w:pPr>
      <w:r>
        <w:rPr>
          <w:sz w:val="24"/>
        </w:rPr>
        <w:t>Diante desse cenáno, emerge a problemática que orienta este trabalho: quais métodos laboratonais oferecem maior sensibilidade, especificidade e aplicabilidade clínica no diagnóstico da anemia ferropriva?</w:t>
      </w:r>
    </w:p>
    <w:p w14:paraId="18FBB3CE" w14:textId="77777777" w:rsidR="001E0987" w:rsidRDefault="00021AA7">
      <w:pPr>
        <w:spacing w:after="195" w:line="317" w:lineRule="auto"/>
        <w:ind w:left="431" w:right="-5"/>
        <w:jc w:val="both"/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277FABC6" wp14:editId="67EDA212">
            <wp:simplePos x="0" y="0"/>
            <wp:positionH relativeFrom="page">
              <wp:posOffset>789485</wp:posOffset>
            </wp:positionH>
            <wp:positionV relativeFrom="page">
              <wp:posOffset>338360</wp:posOffset>
            </wp:positionV>
            <wp:extent cx="6739581" cy="1051660"/>
            <wp:effectExtent l="0" t="0" r="0" b="0"/>
            <wp:wrapTopAndBottom/>
            <wp:docPr id="65698" name="Picture 656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98" name="Picture 6569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739581" cy="1051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O objetivo geral desta pesquisa é comparar convencionais e tecnologias emergentes no diagnóstico da anemia ferropriva, analisando suas limitações, desempenho e aplicabilidade em diferentes contextos clinicos. Como objetivos esFcíficos, busca-se: ( I ) mapear e descrever os métodos clássicos e emergentes utilimdos no diagnóstico; (2) identificar fatores de confusão e limitações relacionadas a </w:t>
      </w:r>
      <w:r>
        <w:rPr>
          <w:noProof/>
        </w:rPr>
        <w:drawing>
          <wp:inline distT="0" distB="0" distL="0" distR="0" wp14:anchorId="226F6FE5" wp14:editId="2824787D">
            <wp:extent cx="664509" cy="146317"/>
            <wp:effectExtent l="0" t="0" r="0" b="0"/>
            <wp:docPr id="37743" name="Picture 377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43" name="Picture 3774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4509" cy="146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esFcíficas; e (3) propr um fluxograma prático que auxilie na interpretação laboratorial da condição.</w:t>
      </w:r>
    </w:p>
    <w:p w14:paraId="0B2D99FD" w14:textId="77777777" w:rsidR="001E0987" w:rsidRDefault="00021AA7">
      <w:pPr>
        <w:spacing w:after="205" w:line="317" w:lineRule="auto"/>
        <w:ind w:left="431" w:right="-5"/>
        <w:jc w:val="both"/>
      </w:pPr>
      <w:r>
        <w:rPr>
          <w:sz w:val="24"/>
        </w:rPr>
        <w:t xml:space="preserve">A hilñtese que orienta o estudo é a de que biomarcadores emergentes, como hepcidina, STR e Ret-He, apresentam melhor desemFnho diagnóstico, esrxcialmente em cenários com processos inflarnatórios </w:t>
      </w:r>
      <w:r>
        <w:rPr>
          <w:noProof/>
        </w:rPr>
        <w:drawing>
          <wp:inline distT="0" distB="0" distL="0" distR="0" wp14:anchorId="1A2F1427" wp14:editId="1B24CD40">
            <wp:extent cx="649268" cy="137173"/>
            <wp:effectExtent l="0" t="0" r="0" b="0"/>
            <wp:docPr id="37744" name="Picture 377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44" name="Picture 3774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9268" cy="137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quando comparados aos convencionais.</w:t>
      </w:r>
    </w:p>
    <w:p w14:paraId="6F794291" w14:textId="77777777" w:rsidR="001E0987" w:rsidRDefault="00021AA7">
      <w:pPr>
        <w:spacing w:after="133" w:line="317" w:lineRule="auto"/>
        <w:ind w:left="431" w:right="-5"/>
        <w:jc w:val="both"/>
      </w:pPr>
      <w:r>
        <w:rPr>
          <w:sz w:val="24"/>
        </w:rPr>
        <w:t>Em termos metodológicos, o presente trabalho será conduzido por meio de uma revisão bibliográfica Integrativa, contemplando artigos científicos publicados entre 2015 e 2025, indexados em bases de dados reconhecidas, como PubMed, Scopus, Web of Science, SciELO e LILACS, Serão incluídos estudos onginais, revisões sistemáticas e diretrizes que avaliem a acurácia diagnóstica de marcadores convenciona:s e emergentes.</w:t>
      </w:r>
    </w:p>
    <w:p w14:paraId="19FBB5B4" w14:textId="77777777" w:rsidR="001E0987" w:rsidRDefault="00021AA7">
      <w:pPr>
        <w:spacing w:after="133" w:line="317" w:lineRule="auto"/>
        <w:ind w:left="431" w:right="-5"/>
        <w:jc w:val="both"/>
      </w:pPr>
      <w:r>
        <w:rPr>
          <w:sz w:val="24"/>
        </w:rPr>
        <w:t>Por fim, este artigo está estruturado da seguinte fornw após a intrcxiução, a seção de materiais e métodos apresentará os critérios de busca e seleção dos estudos. Em seguidat a seção de</w:t>
      </w:r>
    </w:p>
    <w:p w14:paraId="68768BFC" w14:textId="77777777" w:rsidR="001E0987" w:rsidRDefault="001E0987">
      <w:pPr>
        <w:sectPr w:rsidR="001E0987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0" w:h="16840"/>
          <w:pgMar w:top="2087" w:right="1147" w:bottom="874" w:left="1296" w:header="720" w:footer="163" w:gutter="0"/>
          <w:cols w:space="720"/>
          <w:titlePg/>
        </w:sectPr>
      </w:pPr>
    </w:p>
    <w:p w14:paraId="26E53B55" w14:textId="77777777" w:rsidR="001E0987" w:rsidRDefault="00021AA7">
      <w:pPr>
        <w:spacing w:after="133" w:line="317" w:lineRule="auto"/>
        <w:ind w:right="-5"/>
        <w:jc w:val="both"/>
      </w:pPr>
      <w:r>
        <w:rPr>
          <w:noProof/>
        </w:rPr>
        <w:drawing>
          <wp:anchor distT="0" distB="0" distL="114300" distR="114300" simplePos="0" relativeHeight="251664384" behindDoc="0" locked="0" layoutInCell="1" allowOverlap="0" wp14:anchorId="6DE2C2C0" wp14:editId="2F5629ED">
            <wp:simplePos x="0" y="0"/>
            <wp:positionH relativeFrom="page">
              <wp:posOffset>188989</wp:posOffset>
            </wp:positionH>
            <wp:positionV relativeFrom="page">
              <wp:posOffset>871811</wp:posOffset>
            </wp:positionV>
            <wp:extent cx="7367512" cy="1063853"/>
            <wp:effectExtent l="0" t="0" r="0" b="0"/>
            <wp:wrapTopAndBottom/>
            <wp:docPr id="65703" name="Picture 657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03" name="Picture 6570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367512" cy="1063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resultados trará a caracterização dos estudos incluídos, acompanhada das tabelas e figuras que sintetizam o desempenho diagnóstico dos diferentes métodos. Na discussão, serão analisadas as implicações clínicas e laboratoriais dos achados, considerando contextos específicos e</w:t>
      </w:r>
      <w:r>
        <w:br w:type="page"/>
      </w:r>
    </w:p>
    <w:p w14:paraId="4321FE3A" w14:textId="77777777" w:rsidR="001E0987" w:rsidRDefault="00021AA7">
      <w:pPr>
        <w:spacing w:after="133" w:line="317" w:lineRule="auto"/>
        <w:ind w:right="-5"/>
        <w:jc w:val="both"/>
      </w:pPr>
      <w:r>
        <w:rPr>
          <w:noProof/>
        </w:rPr>
        <w:drawing>
          <wp:inline distT="0" distB="0" distL="0" distR="0" wp14:anchorId="17932B69" wp14:editId="03F52B79">
            <wp:extent cx="1371692" cy="146318"/>
            <wp:effectExtent l="0" t="0" r="0" b="0"/>
            <wp:docPr id="65701" name="Picture 657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01" name="Picture 6570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71692" cy="146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Por fim. a conclusão retomará os objetivos e destacará as contribuições práticas e científicas deste estudo.</w:t>
      </w:r>
      <w:r>
        <w:br w:type="page"/>
      </w:r>
    </w:p>
    <w:p w14:paraId="0A22C274" w14:textId="77777777" w:rsidR="001E0987" w:rsidRDefault="00021AA7">
      <w:pPr>
        <w:pStyle w:val="Ttulo2"/>
        <w:ind w:right="446"/>
      </w:pPr>
      <w:r>
        <w:t>6 CONCLUSÃO</w:t>
      </w:r>
    </w:p>
    <w:p w14:paraId="728A8546" w14:textId="77777777" w:rsidR="001E0987" w:rsidRDefault="00021AA7">
      <w:pPr>
        <w:spacing w:after="219" w:line="289" w:lineRule="auto"/>
        <w:ind w:left="-5" w:right="-5"/>
        <w:jc w:val="both"/>
      </w:pPr>
      <w:r>
        <w:rPr>
          <w:rFonts w:ascii="Calibri" w:eastAsia="Calibri" w:hAnsi="Calibri" w:cs="Calibri"/>
          <w:sz w:val="24"/>
        </w:rPr>
        <w:t>O presente estudo buscou responder à questão central sobre quais métodos laboratoriais oferecem maior sensibilidade, especificidade e aplicabilidade clinica no diagnóstico da anemia ferropriva. A análise da literatura demonstrou que, a ferntma sénca ainda seja o exame de primeira linha devido ao baixo custo e ampla disponibilidade, sua confiabilidade é comprometida em cenários de inflamação, exigindo interpretação a outros marcadores.</w:t>
      </w:r>
    </w:p>
    <w:p w14:paraId="4727C3EB" w14:textId="77777777" w:rsidR="001E0987" w:rsidRDefault="00021AA7">
      <w:pPr>
        <w:spacing w:after="219" w:line="289" w:lineRule="auto"/>
        <w:ind w:left="-5" w:right="-5"/>
        <w:jc w:val="both"/>
      </w:pPr>
      <w:r>
        <w:rPr>
          <w:noProof/>
        </w:rPr>
        <w:drawing>
          <wp:anchor distT="0" distB="0" distL="114300" distR="114300" simplePos="0" relativeHeight="251665408" behindDoc="0" locked="0" layoutInCell="1" allowOverlap="0" wp14:anchorId="6F9169A4" wp14:editId="388EAA9F">
            <wp:simplePos x="0" y="0"/>
            <wp:positionH relativeFrom="page">
              <wp:posOffset>1063824</wp:posOffset>
            </wp:positionH>
            <wp:positionV relativeFrom="page">
              <wp:posOffset>594416</wp:posOffset>
            </wp:positionV>
            <wp:extent cx="6465243" cy="1042515"/>
            <wp:effectExtent l="0" t="0" r="0" b="0"/>
            <wp:wrapTopAndBottom/>
            <wp:docPr id="65708" name="Picture 657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08" name="Picture 6570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465243" cy="1042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4"/>
        </w:rPr>
        <w:t>Os biomarcadores emergentes, como o Ret-He, o sTfR e a heFidina* mostraram desempenho superior em diferentes contextos. O Ret41e destacou-se como ferramenta de triagem rápida e eficaz, especialmente em gestantes e crianças. O sTfR apresentou maior robustez diagnóstica em cond*s inflamatónas e em pacientes em hemodiálise, sobretudo quando combinado ao índice log ferritina. Já a hqxidina mostrou-se promissora para diferenciar anemia ferropriva da anemia da Inflamação, ainda que limitada pelo alto custo e pela</w:t>
      </w:r>
      <w:r>
        <w:rPr>
          <w:rFonts w:ascii="Calibri" w:eastAsia="Calibri" w:hAnsi="Calibri" w:cs="Calibri"/>
          <w:sz w:val="24"/>
        </w:rPr>
        <w:t xml:space="preserve"> falta de padronizção dos ensaios</w:t>
      </w:r>
      <w:r>
        <w:rPr>
          <w:noProof/>
        </w:rPr>
        <w:drawing>
          <wp:inline distT="0" distB="0" distL="0" distR="0" wp14:anchorId="54345AC5" wp14:editId="778B1C91">
            <wp:extent cx="487713" cy="118883"/>
            <wp:effectExtent l="0" t="0" r="0" b="0"/>
            <wp:docPr id="65706" name="Picture 657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06" name="Picture 6570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87713" cy="118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3E104" w14:textId="77777777" w:rsidR="001E0987" w:rsidRDefault="00021AA7">
      <w:pPr>
        <w:spacing w:after="219" w:line="289" w:lineRule="auto"/>
        <w:ind w:left="-5" w:right="-5"/>
        <w:jc w:val="both"/>
      </w:pPr>
      <w:r>
        <w:rPr>
          <w:rFonts w:ascii="Calibri" w:eastAsia="Calibri" w:hAnsi="Calibri" w:cs="Calibri"/>
          <w:sz w:val="24"/>
        </w:rPr>
        <w:t>Como recomendação prática, conclui-se que a escolha do marcador ideal deve considerar o MII clinico do paciente, o nível de atenção em saúde e os recursos dispniveis. Nos serviços básicos, a ferntina a parâmetros hematimétricos ainda se mostra suficiente para triagem Inicial. Em ambientes especializados, a incorporação de biornarcadores emergentes pde oferecer maor precisão diagnóstica, reduzindo erros de conduta e otimuando o mango clínico.</w:t>
      </w:r>
    </w:p>
    <w:p w14:paraId="532C3DB4" w14:textId="77777777" w:rsidR="001E0987" w:rsidRDefault="00021AA7">
      <w:pPr>
        <w:spacing w:after="219" w:line="289" w:lineRule="auto"/>
        <w:ind w:left="-5" w:right="-5"/>
        <w:jc w:val="both"/>
      </w:pPr>
      <w:r>
        <w:rPr>
          <w:rFonts w:ascii="Calibri" w:eastAsia="Calibri" w:hAnsi="Calibri" w:cs="Calibri"/>
          <w:sz w:val="24"/>
        </w:rPr>
        <w:t xml:space="preserve">Portanto, a "moral da história" é que não existe um único exame ideal para as situações. A Integração entre tradicionais e novas tecnologias representa o caminho mais seguro para um diagnóstico preciso, garantindo intervenções mais adequadas e contribuindo para a </w:t>
      </w:r>
      <w:r>
        <w:rPr>
          <w:noProof/>
        </w:rPr>
        <w:drawing>
          <wp:inline distT="0" distB="0" distL="0" distR="0" wp14:anchorId="2ED3E12F" wp14:editId="1172A151">
            <wp:extent cx="3049" cy="6097"/>
            <wp:effectExtent l="0" t="0" r="0" b="0"/>
            <wp:docPr id="52797" name="Picture 527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97" name="Picture 52797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4"/>
        </w:rPr>
        <w:t>melhoria da saúde pública frente à elevada prevalência da anemia ferropriva.</w:t>
      </w:r>
    </w:p>
    <w:sectPr w:rsidR="001E0987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0" w:h="16840"/>
      <w:pgMar w:top="3333" w:right="1147" w:bottom="2578" w:left="1743" w:header="811" w:footer="1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4FB75" w14:textId="77777777" w:rsidR="00021AA7" w:rsidRDefault="00021AA7">
      <w:pPr>
        <w:spacing w:after="0" w:line="240" w:lineRule="auto"/>
      </w:pPr>
      <w:r>
        <w:separator/>
      </w:r>
    </w:p>
  </w:endnote>
  <w:endnote w:type="continuationSeparator" w:id="0">
    <w:p w14:paraId="214B007D" w14:textId="77777777" w:rsidR="00021AA7" w:rsidRDefault="00021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B8CAB" w14:textId="77777777" w:rsidR="001E0987" w:rsidRDefault="00021AA7">
    <w:pPr>
      <w:spacing w:after="0"/>
      <w:ind w:right="-826"/>
      <w:jc w:val="right"/>
    </w:pPr>
    <w:r>
      <w:rPr>
        <w:sz w:val="24"/>
      </w:rPr>
      <w:t>Digitalizado com CamScanner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E7515" w14:textId="77777777" w:rsidR="001E0987" w:rsidRDefault="00021AA7">
    <w:pPr>
      <w:spacing w:after="0"/>
      <w:ind w:right="-826"/>
      <w:jc w:val="right"/>
    </w:pPr>
    <w:r>
      <w:rPr>
        <w:sz w:val="24"/>
      </w:rPr>
      <w:t>Digitalizado com CamScanner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0065" w14:textId="77777777" w:rsidR="001E0987" w:rsidRDefault="00021AA7">
    <w:pPr>
      <w:spacing w:after="0"/>
      <w:ind w:right="-826"/>
      <w:jc w:val="right"/>
    </w:pPr>
    <w:r>
      <w:rPr>
        <w:sz w:val="24"/>
      </w:rPr>
      <w:t>Digitalizado com CamScanner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1D174" w14:textId="77777777" w:rsidR="001E0987" w:rsidRDefault="00021AA7">
    <w:pPr>
      <w:spacing w:after="0"/>
      <w:ind w:right="-826"/>
      <w:jc w:val="right"/>
    </w:pPr>
    <w:r>
      <w:rPr>
        <w:sz w:val="24"/>
      </w:rPr>
      <w:t>Digitalizado com CamScanner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34482" w14:textId="77777777" w:rsidR="001E0987" w:rsidRDefault="00021AA7">
    <w:pPr>
      <w:spacing w:after="0"/>
      <w:ind w:right="-826"/>
      <w:jc w:val="right"/>
    </w:pPr>
    <w:r>
      <w:rPr>
        <w:sz w:val="24"/>
      </w:rPr>
      <w:t>Digitalizado com CamScanner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AF767" w14:textId="77777777" w:rsidR="001E0987" w:rsidRDefault="00021AA7">
    <w:pPr>
      <w:spacing w:after="0"/>
      <w:ind w:right="-826"/>
      <w:jc w:val="right"/>
    </w:pPr>
    <w:r>
      <w:rPr>
        <w:sz w:val="24"/>
      </w:rPr>
      <w:t>Digitalizado com CamScanner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4B3A0" w14:textId="77777777" w:rsidR="00021AA7" w:rsidRDefault="00021AA7">
      <w:pPr>
        <w:spacing w:after="0" w:line="240" w:lineRule="auto"/>
      </w:pPr>
      <w:r>
        <w:separator/>
      </w:r>
    </w:p>
  </w:footnote>
  <w:footnote w:type="continuationSeparator" w:id="0">
    <w:p w14:paraId="55840547" w14:textId="77777777" w:rsidR="00021AA7" w:rsidRDefault="00021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C9657" w14:textId="77777777" w:rsidR="001E0987" w:rsidRDefault="001E098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21263" w14:textId="77777777" w:rsidR="001E0987" w:rsidRDefault="00021AA7">
    <w:pPr>
      <w:spacing w:after="0"/>
      <w:ind w:left="4556"/>
      <w:jc w:val="center"/>
    </w:pPr>
    <w:r>
      <w:rPr>
        <w:sz w:val="26"/>
      </w:rPr>
      <w:t>e</w:t>
    </w:r>
  </w:p>
  <w:p w14:paraId="2C482487" w14:textId="77777777" w:rsidR="001E0987" w:rsidRDefault="00021AA7">
    <w:pPr>
      <w:spacing w:after="0" w:line="257" w:lineRule="auto"/>
      <w:ind w:left="1215" w:right="1157" w:hanging="1234"/>
    </w:pPr>
    <w:r>
      <w:rPr>
        <w:sz w:val="34"/>
      </w:rPr>
      <w:t xml:space="preserve">Faculdade </w:t>
    </w:r>
    <w:r>
      <w:rPr>
        <w:sz w:val="30"/>
      </w:rPr>
      <w:t>de</w:t>
    </w:r>
    <w:r>
      <w:rPr>
        <w:sz w:val="30"/>
      </w:rPr>
      <w:tab/>
    </w:r>
    <w:r>
      <w:rPr>
        <w:sz w:val="26"/>
      </w:rPr>
      <w:t>reqetta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8E17F" w14:textId="77777777" w:rsidR="001E0987" w:rsidRDefault="001E098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ACC96" w14:textId="77777777" w:rsidR="001E0987" w:rsidRDefault="00021AA7">
    <w:pPr>
      <w:spacing w:after="0"/>
      <w:ind w:left="-475"/>
    </w:pPr>
    <w:r>
      <w:rPr>
        <w:rFonts w:ascii="Calibri" w:eastAsia="Calibri" w:hAnsi="Calibri" w:cs="Calibri"/>
        <w:sz w:val="34"/>
      </w:rPr>
      <w:t>Faculdade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83740" w14:textId="77777777" w:rsidR="001E0987" w:rsidRDefault="00021AA7">
    <w:pPr>
      <w:spacing w:after="0"/>
      <w:ind w:left="4109"/>
      <w:jc w:val="center"/>
    </w:pPr>
    <w:r>
      <w:rPr>
        <w:sz w:val="26"/>
      </w:rPr>
      <w:t>e</w:t>
    </w:r>
  </w:p>
  <w:p w14:paraId="797C7F91" w14:textId="77777777" w:rsidR="001E0987" w:rsidRDefault="00021AA7">
    <w:pPr>
      <w:spacing w:after="0" w:line="257" w:lineRule="auto"/>
      <w:ind w:left="768" w:right="1157" w:hanging="1234"/>
    </w:pPr>
    <w:r>
      <w:rPr>
        <w:sz w:val="34"/>
      </w:rPr>
      <w:t xml:space="preserve">Faculdade </w:t>
    </w:r>
    <w:r>
      <w:rPr>
        <w:sz w:val="30"/>
      </w:rPr>
      <w:t>de</w:t>
    </w:r>
    <w:r>
      <w:rPr>
        <w:sz w:val="30"/>
      </w:rPr>
      <w:tab/>
    </w:r>
    <w:r>
      <w:rPr>
        <w:sz w:val="26"/>
      </w:rPr>
      <w:t>reqetta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988EC" w14:textId="77777777" w:rsidR="001E0987" w:rsidRDefault="00021AA7">
    <w:pPr>
      <w:spacing w:after="0"/>
      <w:ind w:left="-475"/>
    </w:pPr>
    <w:r>
      <w:rPr>
        <w:rFonts w:ascii="Calibri" w:eastAsia="Calibri" w:hAnsi="Calibri" w:cs="Calibri"/>
        <w:sz w:val="34"/>
      </w:rPr>
      <w:t>Faculdade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987"/>
    <w:rsid w:val="00021AA7"/>
    <w:rsid w:val="001E0987"/>
    <w:rsid w:val="00794A71"/>
    <w:rsid w:val="00D4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49FC6D"/>
  <w15:docId w15:val="{304E419D-2A22-B245-851D-D6AD5DDE2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435" w:line="259" w:lineRule="auto"/>
      <w:ind w:left="446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669" w:line="398" w:lineRule="auto"/>
      <w:ind w:left="480" w:hanging="10"/>
      <w:jc w:val="center"/>
      <w:outlineLvl w:val="1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Ttulo2Char">
    <w:name w:val="Título 2 Char"/>
    <w:link w:val="Ttulo2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 /><Relationship Id="rId13" Type="http://schemas.openxmlformats.org/officeDocument/2006/relationships/image" Target="media/image8.jpg" /><Relationship Id="rId18" Type="http://schemas.openxmlformats.org/officeDocument/2006/relationships/image" Target="media/image13.jpg" /><Relationship Id="rId26" Type="http://schemas.openxmlformats.org/officeDocument/2006/relationships/footer" Target="footer1.xml" /><Relationship Id="rId3" Type="http://schemas.openxmlformats.org/officeDocument/2006/relationships/webSettings" Target="webSettings.xml" /><Relationship Id="rId21" Type="http://schemas.openxmlformats.org/officeDocument/2006/relationships/image" Target="media/image16.jpg" /><Relationship Id="rId34" Type="http://schemas.openxmlformats.org/officeDocument/2006/relationships/header" Target="header6.xml" /><Relationship Id="rId7" Type="http://schemas.openxmlformats.org/officeDocument/2006/relationships/image" Target="media/image2.jpg" /><Relationship Id="rId12" Type="http://schemas.openxmlformats.org/officeDocument/2006/relationships/image" Target="media/image7.jpg" /><Relationship Id="rId17" Type="http://schemas.openxmlformats.org/officeDocument/2006/relationships/image" Target="media/image12.jpg" /><Relationship Id="rId25" Type="http://schemas.openxmlformats.org/officeDocument/2006/relationships/header" Target="header2.xml" /><Relationship Id="rId33" Type="http://schemas.openxmlformats.org/officeDocument/2006/relationships/footer" Target="footer5.xml" /><Relationship Id="rId2" Type="http://schemas.openxmlformats.org/officeDocument/2006/relationships/settings" Target="settings.xml" /><Relationship Id="rId16" Type="http://schemas.openxmlformats.org/officeDocument/2006/relationships/image" Target="media/image11.jpg" /><Relationship Id="rId20" Type="http://schemas.openxmlformats.org/officeDocument/2006/relationships/image" Target="media/image15.jpg" /><Relationship Id="rId29" Type="http://schemas.openxmlformats.org/officeDocument/2006/relationships/footer" Target="footer3.xml" /><Relationship Id="rId1" Type="http://schemas.openxmlformats.org/officeDocument/2006/relationships/styles" Target="styles.xml" /><Relationship Id="rId6" Type="http://schemas.openxmlformats.org/officeDocument/2006/relationships/image" Target="media/image1.jpg" /><Relationship Id="rId11" Type="http://schemas.openxmlformats.org/officeDocument/2006/relationships/image" Target="media/image6.jpg" /><Relationship Id="rId24" Type="http://schemas.openxmlformats.org/officeDocument/2006/relationships/header" Target="header1.xml" /><Relationship Id="rId32" Type="http://schemas.openxmlformats.org/officeDocument/2006/relationships/footer" Target="footer4.xml" /><Relationship Id="rId37" Type="http://schemas.openxmlformats.org/officeDocument/2006/relationships/theme" Target="theme/theme1.xml" /><Relationship Id="rId5" Type="http://schemas.openxmlformats.org/officeDocument/2006/relationships/endnotes" Target="endnotes.xml" /><Relationship Id="rId15" Type="http://schemas.openxmlformats.org/officeDocument/2006/relationships/image" Target="media/image10.jpg" /><Relationship Id="rId23" Type="http://schemas.openxmlformats.org/officeDocument/2006/relationships/image" Target="media/image18.jpg" /><Relationship Id="rId28" Type="http://schemas.openxmlformats.org/officeDocument/2006/relationships/header" Target="header3.xml" /><Relationship Id="rId36" Type="http://schemas.openxmlformats.org/officeDocument/2006/relationships/fontTable" Target="fontTable.xml" /><Relationship Id="rId10" Type="http://schemas.openxmlformats.org/officeDocument/2006/relationships/image" Target="media/image5.jpg" /><Relationship Id="rId19" Type="http://schemas.openxmlformats.org/officeDocument/2006/relationships/image" Target="media/image14.jpg" /><Relationship Id="rId31" Type="http://schemas.openxmlformats.org/officeDocument/2006/relationships/header" Target="header5.xml" /><Relationship Id="rId4" Type="http://schemas.openxmlformats.org/officeDocument/2006/relationships/footnotes" Target="footnotes.xml" /><Relationship Id="rId9" Type="http://schemas.openxmlformats.org/officeDocument/2006/relationships/image" Target="media/image4.jpg" /><Relationship Id="rId14" Type="http://schemas.openxmlformats.org/officeDocument/2006/relationships/image" Target="media/image9.jpg" /><Relationship Id="rId22" Type="http://schemas.openxmlformats.org/officeDocument/2006/relationships/image" Target="media/image17.jpg" /><Relationship Id="rId27" Type="http://schemas.openxmlformats.org/officeDocument/2006/relationships/footer" Target="footer2.xml" /><Relationship Id="rId30" Type="http://schemas.openxmlformats.org/officeDocument/2006/relationships/header" Target="header4.xml" /><Relationship Id="rId35" Type="http://schemas.openxmlformats.org/officeDocument/2006/relationships/footer" Target="footer6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2521</Words>
  <Characters>13619</Characters>
  <Application>Microsoft Office Word</Application>
  <DocSecurity>0</DocSecurity>
  <Lines>113</Lines>
  <Paragraphs>32</Paragraphs>
  <ScaleCrop>false</ScaleCrop>
  <Company/>
  <LinksUpToDate>false</LinksUpToDate>
  <CharactersWithSpaces>16108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CamScanner 10-10-2025 16.51</dc:title>
  <dc:subject>CamScanner 10-10-2025 16.51</dc:subject>
  <dc:creator>CamScanner</dc:creator>
  <cp:keywords/>
  <cp:lastModifiedBy>Usuário Convidado</cp:lastModifiedBy>
  <cp:revision>2</cp:revision>
  <dcterms:created xsi:type="dcterms:W3CDTF">2025-10-10T20:08:00Z</dcterms:created>
  <dcterms:modified xsi:type="dcterms:W3CDTF">2025-10-10T20:08:00Z</dcterms:modified>
</cp:coreProperties>
</file>